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1823A" w14:textId="77777777" w:rsidR="00A60BA5" w:rsidRDefault="00320F20" w:rsidP="00320F20">
      <w:pPr>
        <w:spacing w:after="48"/>
        <w:jc w:val="center"/>
        <w:rPr>
          <w:rStyle w:val="apple-style-span"/>
          <w:rFonts w:ascii="Times New Roman" w:hAnsi="Times New Roman" w:cs="Times New Roman"/>
          <w:b/>
          <w:color w:val="000000"/>
          <w:sz w:val="24"/>
          <w:szCs w:val="24"/>
        </w:rPr>
      </w:pPr>
      <w:r w:rsidRPr="00320F20">
        <w:rPr>
          <w:rStyle w:val="apple-style-span"/>
          <w:rFonts w:ascii="Times New Roman" w:hAnsi="Times New Roman" w:cs="Times New Roman"/>
          <w:b/>
          <w:color w:val="000000"/>
          <w:sz w:val="24"/>
          <w:szCs w:val="24"/>
        </w:rPr>
        <w:t>Role of VCOs and civil society in consumer protection</w:t>
      </w:r>
    </w:p>
    <w:p w14:paraId="24ED945C" w14:textId="0DD1F010" w:rsidR="00E0458F" w:rsidRDefault="00E0458F" w:rsidP="00E0458F">
      <w:pPr>
        <w:spacing w:after="48"/>
        <w:jc w:val="right"/>
        <w:rPr>
          <w:rStyle w:val="apple-style-span"/>
          <w:rFonts w:ascii="Times New Roman" w:hAnsi="Times New Roman" w:cs="Times New Roman"/>
          <w:b/>
          <w:color w:val="000000"/>
          <w:sz w:val="24"/>
          <w:szCs w:val="24"/>
        </w:rPr>
      </w:pPr>
      <w:r>
        <w:rPr>
          <w:rStyle w:val="apple-style-span"/>
          <w:rFonts w:ascii="Times New Roman" w:hAnsi="Times New Roman" w:cs="Times New Roman"/>
          <w:b/>
          <w:color w:val="000000"/>
          <w:sz w:val="24"/>
          <w:szCs w:val="24"/>
        </w:rPr>
        <w:t>Mandeep Singh &amp; Krishna</w:t>
      </w:r>
      <w:r w:rsidR="001D16D5">
        <w:rPr>
          <w:rStyle w:val="apple-style-span"/>
          <w:rFonts w:ascii="Times New Roman" w:hAnsi="Times New Roman" w:cs="Times New Roman"/>
          <w:b/>
          <w:color w:val="000000"/>
          <w:sz w:val="24"/>
          <w:szCs w:val="24"/>
        </w:rPr>
        <w:t xml:space="preserve"> senger </w:t>
      </w:r>
      <w:r w:rsidR="00A94DDC">
        <w:rPr>
          <w:rStyle w:val="FootnoteReference"/>
          <w:rFonts w:ascii="Times New Roman" w:hAnsi="Times New Roman" w:cs="Times New Roman"/>
          <w:b/>
          <w:color w:val="000000"/>
          <w:sz w:val="24"/>
          <w:szCs w:val="24"/>
        </w:rPr>
        <w:footnoteReference w:id="1"/>
      </w:r>
      <w:r>
        <w:rPr>
          <w:rStyle w:val="apple-style-span"/>
          <w:rFonts w:ascii="Times New Roman" w:hAnsi="Times New Roman" w:cs="Times New Roman"/>
          <w:b/>
          <w:color w:val="000000"/>
          <w:sz w:val="24"/>
          <w:szCs w:val="24"/>
        </w:rPr>
        <w:t xml:space="preserve"> </w:t>
      </w:r>
    </w:p>
    <w:p w14:paraId="337F23AB" w14:textId="77777777" w:rsidR="00320F20" w:rsidRDefault="00320F20" w:rsidP="00320F20">
      <w:pPr>
        <w:spacing w:after="48"/>
        <w:rPr>
          <w:rStyle w:val="apple-style-span"/>
          <w:rFonts w:ascii="Times New Roman" w:hAnsi="Times New Roman" w:cs="Times New Roman"/>
          <w:b/>
          <w:color w:val="000000"/>
          <w:sz w:val="24"/>
          <w:szCs w:val="24"/>
        </w:rPr>
      </w:pPr>
    </w:p>
    <w:p w14:paraId="2F8818C2" w14:textId="77777777" w:rsidR="00320F20" w:rsidRDefault="00320F20" w:rsidP="00320F20">
      <w:pPr>
        <w:spacing w:after="48"/>
        <w:ind w:left="1440"/>
        <w:rPr>
          <w:rFonts w:ascii="Times New Roman" w:hAnsi="Times New Roman" w:cs="Times New Roman"/>
          <w:i/>
          <w:sz w:val="24"/>
          <w:szCs w:val="24"/>
        </w:rPr>
      </w:pPr>
      <w:r w:rsidRPr="00320F20">
        <w:rPr>
          <w:rFonts w:ascii="Times New Roman" w:hAnsi="Times New Roman" w:cs="Times New Roman"/>
          <w:i/>
          <w:sz w:val="24"/>
          <w:szCs w:val="24"/>
        </w:rPr>
        <w:t>VCOs and civil society can effectively contribute in promotion and propagation of the programmes and schemes relating to consumer education and awareness especially in rural areas.They can play the role of a catalyst to mobilise the rural communities in organising awareness activities such as consumer mela, road shows, nukkad</w:t>
      </w:r>
      <w:r w:rsidR="007A10B7">
        <w:rPr>
          <w:rFonts w:ascii="Times New Roman" w:hAnsi="Times New Roman" w:cs="Times New Roman"/>
          <w:i/>
          <w:sz w:val="24"/>
          <w:szCs w:val="24"/>
        </w:rPr>
        <w:t>,</w:t>
      </w:r>
      <w:r w:rsidRPr="00320F20">
        <w:rPr>
          <w:rFonts w:ascii="Times New Roman" w:hAnsi="Times New Roman" w:cs="Times New Roman"/>
          <w:i/>
          <w:sz w:val="24"/>
          <w:szCs w:val="24"/>
        </w:rPr>
        <w:t>nataks etc. The well-established VCOs such as CCC, VOICE, CERC, CUTS etc. are indeed playing appreciable role through their specialised activities such as comparative testing of consumer products and dissemination of information through their publications. Their role in helping the schools in running consumer clubs has already been accepted.</w:t>
      </w:r>
    </w:p>
    <w:p w14:paraId="132AA8D0" w14:textId="77777777" w:rsidR="00B96D3E" w:rsidRDefault="00B96D3E" w:rsidP="00320F20">
      <w:pPr>
        <w:spacing w:after="48"/>
        <w:ind w:left="1440"/>
        <w:rPr>
          <w:rFonts w:ascii="Times New Roman" w:hAnsi="Times New Roman" w:cs="Times New Roman"/>
          <w:i/>
          <w:sz w:val="24"/>
          <w:szCs w:val="24"/>
        </w:rPr>
      </w:pPr>
    </w:p>
    <w:p w14:paraId="669B0156" w14:textId="77777777" w:rsidR="007A10B7" w:rsidRPr="00B96D3E" w:rsidRDefault="00B96D3E" w:rsidP="007A10B7">
      <w:pPr>
        <w:spacing w:after="48"/>
        <w:ind w:left="720"/>
        <w:rPr>
          <w:rFonts w:ascii="Times New Roman" w:hAnsi="Times New Roman" w:cs="Times New Roman"/>
          <w:b/>
          <w:sz w:val="24"/>
          <w:szCs w:val="24"/>
        </w:rPr>
      </w:pPr>
      <w:r w:rsidRPr="00B96D3E">
        <w:rPr>
          <w:rFonts w:ascii="Times New Roman" w:hAnsi="Times New Roman" w:cs="Times New Roman"/>
          <w:b/>
          <w:sz w:val="24"/>
          <w:szCs w:val="24"/>
        </w:rPr>
        <w:t>INTRODUCTION</w:t>
      </w:r>
    </w:p>
    <w:p w14:paraId="638F2EE9" w14:textId="77777777" w:rsidR="007A10B7" w:rsidRPr="00C202C4" w:rsidRDefault="007A10B7" w:rsidP="00D238F4">
      <w:pPr>
        <w:widowControl w:val="0"/>
        <w:autoSpaceDE w:val="0"/>
        <w:autoSpaceDN w:val="0"/>
        <w:adjustRightInd w:val="0"/>
        <w:spacing w:before="0" w:afterLines="0"/>
        <w:rPr>
          <w:rFonts w:ascii="Times New Roman" w:hAnsi="Times New Roman" w:cs="Times New Roman"/>
          <w:sz w:val="24"/>
          <w:szCs w:val="24"/>
        </w:rPr>
      </w:pPr>
      <w:r w:rsidRPr="00C202C4">
        <w:rPr>
          <w:rFonts w:ascii="Times New Roman" w:hAnsi="Times New Roman" w:cs="Times New Roman"/>
          <w:color w:val="000000"/>
          <w:spacing w:val="-1"/>
          <w:sz w:val="24"/>
          <w:szCs w:val="24"/>
        </w:rPr>
        <w:t xml:space="preserve">The contemporary era is marked as the era of consumers.  No  country  can  knowingly  or unknowingly  disregard  the  interest  of the  consumers. </w:t>
      </w:r>
      <w:r w:rsidRPr="007A10B7">
        <w:rPr>
          <w:rFonts w:ascii="Times New Roman" w:hAnsi="Times New Roman" w:cs="Times New Roman"/>
          <w:color w:val="000000"/>
          <w:spacing w:val="-1"/>
          <w:sz w:val="24"/>
          <w:szCs w:val="24"/>
        </w:rPr>
        <w:t>It is now universally accepted that the level of consumer awareness and protection is a true indicator of the development of the country and the progressiveness of its civil society</w:t>
      </w:r>
      <w:r>
        <w:rPr>
          <w:rFonts w:ascii="Times New Roman" w:hAnsi="Times New Roman" w:cs="Times New Roman"/>
          <w:color w:val="000000"/>
          <w:spacing w:val="-1"/>
          <w:sz w:val="24"/>
          <w:szCs w:val="24"/>
        </w:rPr>
        <w:t xml:space="preserve">. </w:t>
      </w:r>
      <w:r w:rsidRPr="00C202C4">
        <w:rPr>
          <w:rFonts w:ascii="Times New Roman" w:hAnsi="Times New Roman" w:cs="Times New Roman"/>
          <w:color w:val="000000"/>
          <w:spacing w:val="-1"/>
          <w:sz w:val="24"/>
          <w:szCs w:val="24"/>
        </w:rPr>
        <w:t xml:space="preserve">The Consumer Protection Act, 1986 is one of the examples that is to be treated as a milestone in the history of socio-economic legislation to protect the interests ofthe consumers in India. </w:t>
      </w:r>
    </w:p>
    <w:p w14:paraId="0707855A" w14:textId="77777777" w:rsidR="007A10B7" w:rsidRDefault="007A10B7" w:rsidP="00D238F4">
      <w:pPr>
        <w:widowControl w:val="0"/>
        <w:autoSpaceDE w:val="0"/>
        <w:autoSpaceDN w:val="0"/>
        <w:adjustRightInd w:val="0"/>
        <w:spacing w:before="0" w:afterLines="0"/>
        <w:rPr>
          <w:rFonts w:ascii="Times New Roman" w:hAnsi="Times New Roman" w:cs="Times New Roman"/>
          <w:sz w:val="24"/>
          <w:szCs w:val="24"/>
        </w:rPr>
      </w:pPr>
      <w:r w:rsidRPr="00C202C4">
        <w:rPr>
          <w:rFonts w:ascii="Times New Roman" w:hAnsi="Times New Roman" w:cs="Times New Roman"/>
          <w:sz w:val="24"/>
          <w:szCs w:val="24"/>
        </w:rPr>
        <w:t xml:space="preserve">The act came into effect first on December 24, 1986 after being passed by the Indian Parliament and signed by the President of India. It was modified later on and the modifications came into effect on March 15, 2003. The act is applicable in all states in India except in Jammu and Kashmir. The act makes provisions to include both tangible goods and intangible services (henceforth referred to as product) purchased from a trader or service provider (henceforth referred to as company). The act can apply to any consumer who uses the product for non-commercial activities, the only exception being use of it to earn his livelihood. In other words, the act excludes commercial customers </w:t>
      </w:r>
      <w:r w:rsidRPr="00C202C4">
        <w:rPr>
          <w:rFonts w:ascii="Times New Roman" w:hAnsi="Times New Roman" w:cs="Times New Roman"/>
          <w:sz w:val="24"/>
          <w:szCs w:val="24"/>
        </w:rPr>
        <w:lastRenderedPageBreak/>
        <w:t>fully, but includes individual domestic customers, groups of domestic customers, societies and not-for-profit organizations.</w:t>
      </w:r>
      <w:r w:rsidRPr="00C202C4">
        <w:rPr>
          <w:rStyle w:val="FootnoteReference"/>
          <w:rFonts w:ascii="Times New Roman" w:hAnsi="Times New Roman" w:cs="Times New Roman"/>
          <w:sz w:val="24"/>
          <w:szCs w:val="24"/>
        </w:rPr>
        <w:footnoteReference w:id="2"/>
      </w:r>
    </w:p>
    <w:p w14:paraId="469385F7" w14:textId="77777777" w:rsidR="00AA76ED" w:rsidRDefault="00AA76ED" w:rsidP="00D238F4">
      <w:pPr>
        <w:widowControl w:val="0"/>
        <w:autoSpaceDE w:val="0"/>
        <w:autoSpaceDN w:val="0"/>
        <w:adjustRightInd w:val="0"/>
        <w:spacing w:before="0" w:afterLines="0"/>
        <w:rPr>
          <w:rFonts w:ascii="Times New Roman" w:hAnsi="Times New Roman" w:cs="Times New Roman"/>
          <w:sz w:val="24"/>
          <w:szCs w:val="24"/>
        </w:rPr>
      </w:pPr>
    </w:p>
    <w:p w14:paraId="24873E62" w14:textId="77777777" w:rsidR="00AA76ED" w:rsidRPr="00AA76ED" w:rsidRDefault="00AA76ED" w:rsidP="00D238F4">
      <w:pPr>
        <w:widowControl w:val="0"/>
        <w:autoSpaceDE w:val="0"/>
        <w:autoSpaceDN w:val="0"/>
        <w:adjustRightInd w:val="0"/>
        <w:spacing w:before="0" w:afterLines="0"/>
        <w:rPr>
          <w:rFonts w:ascii="Times New Roman" w:hAnsi="Times New Roman" w:cs="Times New Roman"/>
          <w:sz w:val="24"/>
          <w:szCs w:val="24"/>
        </w:rPr>
      </w:pPr>
      <w:r>
        <w:rPr>
          <w:rFonts w:ascii="Times New Roman" w:hAnsi="Times New Roman" w:cs="Times New Roman"/>
          <w:b/>
          <w:bCs/>
          <w:sz w:val="24"/>
          <w:szCs w:val="24"/>
        </w:rPr>
        <w:t>CONSUMER PROTECTION: INTERNATIONAL SCENARIO</w:t>
      </w:r>
    </w:p>
    <w:p w14:paraId="7370ED6C" w14:textId="77777777" w:rsidR="00E37820" w:rsidRDefault="00E37820" w:rsidP="00E37820">
      <w:pPr>
        <w:spacing w:before="0" w:afterLines="0"/>
        <w:rPr>
          <w:rFonts w:ascii="Times New Roman" w:hAnsi="Times New Roman" w:cs="Times New Roman"/>
          <w:sz w:val="24"/>
          <w:szCs w:val="24"/>
        </w:rPr>
      </w:pPr>
      <w:r w:rsidRPr="00B96D3E">
        <w:rPr>
          <w:rFonts w:ascii="Times New Roman" w:hAnsi="Times New Roman" w:cs="Times New Roman"/>
          <w:sz w:val="24"/>
          <w:szCs w:val="24"/>
        </w:rPr>
        <w:t>One could be forgiven for believing that consumerism was largely invented by Mr. Ralph Nader, the well-known American Advocate. History of protection of consumer rights by law has long been recognised as dating back to 1824. Every year 15th of March is observed as the World Consumer Rights Day. On that day in 1962 President John F. Kennedy called upon the U.S. Congress to accord its approval to the Consumer Bill of Rights. These rights are (i) right to choice; (ii) right to information, (iii) right to safety and (iv) right to be heard. President Gerald R. Ford added one more right i.e. right to consumer education. Later other rights such as right to healthy environment and right to basic needs (Food, Clothing and Shelter) were added. In India we have recently started celebrating 24th December every year as the National Consumer Rights Day.</w:t>
      </w:r>
      <w:r>
        <w:rPr>
          <w:rStyle w:val="FootnoteReference"/>
          <w:rFonts w:ascii="Times New Roman" w:hAnsi="Times New Roman" w:cs="Times New Roman"/>
          <w:sz w:val="24"/>
          <w:szCs w:val="24"/>
        </w:rPr>
        <w:footnoteReference w:id="3"/>
      </w:r>
    </w:p>
    <w:p w14:paraId="4E512E70" w14:textId="77777777" w:rsidR="00546860" w:rsidRDefault="00546860" w:rsidP="00E37820">
      <w:pPr>
        <w:spacing w:before="0" w:afterLines="0"/>
        <w:rPr>
          <w:rFonts w:ascii="Times New Roman" w:hAnsi="Times New Roman" w:cs="Times New Roman"/>
          <w:sz w:val="24"/>
          <w:szCs w:val="24"/>
        </w:rPr>
      </w:pPr>
    </w:p>
    <w:p w14:paraId="1B6F4F3D" w14:textId="77777777" w:rsidR="00546860" w:rsidRPr="00546860" w:rsidRDefault="00546860" w:rsidP="00546860">
      <w:pPr>
        <w:spacing w:before="0" w:afterLines="0"/>
        <w:rPr>
          <w:rFonts w:ascii="Times New Roman" w:hAnsi="Times New Roman" w:cs="Times New Roman"/>
          <w:b/>
          <w:sz w:val="24"/>
          <w:szCs w:val="24"/>
        </w:rPr>
      </w:pPr>
      <w:r>
        <w:rPr>
          <w:rFonts w:ascii="Times New Roman" w:hAnsi="Times New Roman" w:cs="Times New Roman"/>
          <w:b/>
          <w:sz w:val="24"/>
          <w:szCs w:val="24"/>
        </w:rPr>
        <w:t>THE CONCEPT OF VCOs &amp; CIVIL SOCIETY</w:t>
      </w:r>
    </w:p>
    <w:p w14:paraId="183F94C1" w14:textId="77777777" w:rsidR="00546860" w:rsidRDefault="00546860" w:rsidP="00546860">
      <w:pPr>
        <w:spacing w:before="0" w:afterLines="0"/>
        <w:rPr>
          <w:rFonts w:ascii="Times New Roman" w:hAnsi="Times New Roman" w:cs="Times New Roman"/>
          <w:sz w:val="24"/>
          <w:szCs w:val="24"/>
        </w:rPr>
      </w:pPr>
      <w:r w:rsidRPr="00546860">
        <w:rPr>
          <w:rFonts w:ascii="Times New Roman" w:hAnsi="Times New Roman" w:cs="Times New Roman"/>
          <w:sz w:val="24"/>
          <w:szCs w:val="24"/>
        </w:rPr>
        <w:t xml:space="preserve"> The term "civil society" can be traced through the works of Cicero and other Romans to the ancient Greek philosophers, although in classical usage civil society was equated withthe state. The modem idea of civil society emerged in the Scottish and Continental Enlightenment of the late 18th century. A host of political theorists, from Thomas Paine to Georg Hegel, developed the notion of civil society as a domain parallel to but separate from the state--a realm where citizens associate according to their own interests and wishes. This new thinking reflected changing economic realities: the rise of private property, market competition, and the bourgeoisie. It also grew out of the mounting popular demand for liberty, as manifested in the American and French revolutions.</w:t>
      </w:r>
    </w:p>
    <w:p w14:paraId="5A3A6F6D" w14:textId="77777777" w:rsidR="00546860" w:rsidRDefault="00546860" w:rsidP="00E37820">
      <w:pPr>
        <w:spacing w:before="0" w:afterLines="0"/>
        <w:rPr>
          <w:rFonts w:ascii="Times New Roman" w:hAnsi="Times New Roman" w:cs="Times New Roman"/>
          <w:sz w:val="24"/>
          <w:szCs w:val="24"/>
        </w:rPr>
      </w:pPr>
    </w:p>
    <w:p w14:paraId="0ED19519" w14:textId="77777777" w:rsidR="00E37820" w:rsidRPr="00E37820" w:rsidRDefault="00546860" w:rsidP="00E37820">
      <w:pPr>
        <w:widowControl w:val="0"/>
        <w:autoSpaceDE w:val="0"/>
        <w:autoSpaceDN w:val="0"/>
        <w:adjustRightInd w:val="0"/>
        <w:spacing w:before="0" w:afterLines="0"/>
        <w:ind w:left="0"/>
        <w:rPr>
          <w:rFonts w:ascii="Times New Roman" w:hAnsi="Times New Roman" w:cs="Times New Roman"/>
          <w:b/>
          <w:sz w:val="24"/>
          <w:szCs w:val="24"/>
        </w:rPr>
      </w:pPr>
      <w:r>
        <w:rPr>
          <w:rFonts w:ascii="Times New Roman" w:hAnsi="Times New Roman" w:cs="Times New Roman"/>
          <w:b/>
          <w:sz w:val="24"/>
          <w:szCs w:val="24"/>
        </w:rPr>
        <w:t xml:space="preserve">             CONSUMER </w:t>
      </w:r>
      <w:r w:rsidR="00AA76ED">
        <w:rPr>
          <w:rFonts w:ascii="Times New Roman" w:hAnsi="Times New Roman" w:cs="Times New Roman"/>
          <w:b/>
          <w:sz w:val="24"/>
          <w:szCs w:val="24"/>
        </w:rPr>
        <w:t>LAW AND LEGISLATION</w:t>
      </w:r>
    </w:p>
    <w:p w14:paraId="19519429" w14:textId="77777777" w:rsidR="007A10B7" w:rsidRPr="00C202C4" w:rsidRDefault="007A10B7" w:rsidP="007A10B7">
      <w:pPr>
        <w:widowControl w:val="0"/>
        <w:autoSpaceDE w:val="0"/>
        <w:autoSpaceDN w:val="0"/>
        <w:adjustRightInd w:val="0"/>
        <w:spacing w:after="48"/>
        <w:rPr>
          <w:rFonts w:ascii="Times New Roman" w:hAnsi="Times New Roman" w:cs="Times New Roman"/>
          <w:sz w:val="24"/>
          <w:szCs w:val="24"/>
        </w:rPr>
      </w:pPr>
      <w:r w:rsidRPr="00C202C4">
        <w:rPr>
          <w:rFonts w:ascii="Times New Roman" w:hAnsi="Times New Roman" w:cs="Times New Roman"/>
          <w:sz w:val="24"/>
          <w:szCs w:val="24"/>
        </w:rPr>
        <w:lastRenderedPageBreak/>
        <w:t>By virtue</w:t>
      </w:r>
      <w:r w:rsidRPr="00C202C4">
        <w:rPr>
          <w:rFonts w:ascii="Times New Roman" w:eastAsia="Times New Roman" w:hAnsi="Times New Roman" w:cs="Times New Roman"/>
          <w:sz w:val="24"/>
          <w:szCs w:val="24"/>
        </w:rPr>
        <w:t xml:space="preserve"> of its section 1 (4), the Consumer Protection Act 1986 (CPA) has been made applicable to "all goods and services." However, attempts by the consumer forums, envisaged and established under this Act, to bring various types of services within its ambit have met with considerable resistance. Despite strong and repeated protestations from some of the concerned sectors, (he issues concerning inclusion of services rendered by airlines, banks, housing boards, insurance companies, railways, roadways and telecommunications within the jurisdiction of CPA have been by and large settled now.</w:t>
      </w:r>
      <w:r>
        <w:rPr>
          <w:rStyle w:val="FootnoteReference"/>
          <w:rFonts w:ascii="Times New Roman" w:eastAsia="Times New Roman" w:hAnsi="Times New Roman" w:cs="Times New Roman"/>
          <w:sz w:val="24"/>
          <w:szCs w:val="24"/>
        </w:rPr>
        <w:footnoteReference w:id="4"/>
      </w:r>
      <w:r w:rsidRPr="00C202C4">
        <w:rPr>
          <w:rFonts w:ascii="Times New Roman" w:eastAsia="Times New Roman" w:hAnsi="Times New Roman" w:cs="Times New Roman"/>
          <w:sz w:val="24"/>
          <w:szCs w:val="24"/>
        </w:rPr>
        <w:t xml:space="preserve"> It may also be appropriate to mention here that the attempts by the consumer forums to bring at least three types of services {i.e., housing, medical and educational services) within the fold of CPA had met with resistance to such an extent that in two cases {i.e., housing and medical profession) the matters went up to the Supreme Court for a final word and the third issue {i.e., educational services) is also likely to be debated there.</w:t>
      </w:r>
      <w:r w:rsidRPr="006C7D7C">
        <w:rPr>
          <w:rFonts w:ascii="Times New Roman" w:hAnsi="Times New Roman" w:cs="Times New Roman"/>
          <w:iCs/>
          <w:sz w:val="24"/>
          <w:szCs w:val="24"/>
        </w:rPr>
        <w:t>Medical professionals are not the only ones being held liable for profes</w:t>
      </w:r>
      <w:r w:rsidRPr="006C7D7C">
        <w:rPr>
          <w:rFonts w:ascii="Times New Roman" w:hAnsi="Times New Roman" w:cs="Times New Roman"/>
          <w:iCs/>
          <w:sz w:val="24"/>
          <w:szCs w:val="24"/>
        </w:rPr>
        <w:softHyphen/>
        <w:t>sional negligence under the Consumer Protection Act. The long arm of the law extends to almost everyone who renders service for a fee- lawyers, architects, engineers, chartered accountants</w:t>
      </w:r>
      <w:r>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5"/>
      </w:r>
    </w:p>
    <w:p w14:paraId="69ADA596" w14:textId="77777777" w:rsidR="007A10B7" w:rsidRDefault="007A10B7" w:rsidP="007A10B7">
      <w:pPr>
        <w:widowControl w:val="0"/>
        <w:autoSpaceDE w:val="0"/>
        <w:autoSpaceDN w:val="0"/>
        <w:adjustRightInd w:val="0"/>
        <w:spacing w:after="48"/>
        <w:rPr>
          <w:rFonts w:ascii="Times New Roman" w:eastAsia="Times New Roman" w:hAnsi="Times New Roman" w:cs="Times New Roman"/>
          <w:sz w:val="24"/>
          <w:szCs w:val="24"/>
        </w:rPr>
      </w:pPr>
      <w:r w:rsidRPr="00C202C4">
        <w:rPr>
          <w:rFonts w:ascii="Times New Roman" w:eastAsia="Times New Roman" w:hAnsi="Times New Roman" w:cs="Times New Roman"/>
          <w:sz w:val="24"/>
          <w:szCs w:val="24"/>
        </w:rPr>
        <w:t>How</w:t>
      </w:r>
      <w:r w:rsidRPr="00C202C4">
        <w:rPr>
          <w:rFonts w:ascii="Times New Roman" w:eastAsia="Times New Roman" w:hAnsi="Times New Roman" w:cs="Times New Roman"/>
          <w:sz w:val="24"/>
          <w:szCs w:val="24"/>
        </w:rPr>
        <w:softHyphen/>
        <w:t>ever, as far as applicability of CPA to the educational services is concerned, there have been a large number of decisions — both in favour</w:t>
      </w:r>
      <w:r w:rsidRPr="00C202C4">
        <w:rPr>
          <w:rStyle w:val="FootnoteReference"/>
          <w:rFonts w:ascii="Times New Roman" w:eastAsia="Times New Roman" w:hAnsi="Times New Roman" w:cs="Times New Roman"/>
          <w:sz w:val="24"/>
          <w:szCs w:val="24"/>
        </w:rPr>
        <w:footnoteReference w:id="6"/>
      </w:r>
      <w:r w:rsidRPr="00C202C4">
        <w:rPr>
          <w:rFonts w:ascii="Times New Roman" w:eastAsia="Times New Roman" w:hAnsi="Times New Roman" w:cs="Times New Roman"/>
          <w:sz w:val="24"/>
          <w:szCs w:val="24"/>
        </w:rPr>
        <w:t xml:space="preserve"> as well as against</w:t>
      </w:r>
      <w:r w:rsidRPr="00C202C4">
        <w:rPr>
          <w:rStyle w:val="FootnoteReference"/>
          <w:rFonts w:ascii="Times New Roman" w:eastAsia="Times New Roman" w:hAnsi="Times New Roman" w:cs="Times New Roman"/>
          <w:sz w:val="24"/>
          <w:szCs w:val="24"/>
        </w:rPr>
        <w:footnoteReference w:id="7"/>
      </w:r>
      <w:r w:rsidRPr="00C202C4">
        <w:rPr>
          <w:rFonts w:ascii="Times New Roman" w:eastAsia="Times New Roman" w:hAnsi="Times New Roman" w:cs="Times New Roman"/>
          <w:sz w:val="24"/>
          <w:szCs w:val="24"/>
        </w:rPr>
        <w:t xml:space="preserve"> their inclusion within the ambit of CPA — which has given rise to a lot of controversy and speculation. Nevertheless, the inevitable conclusion is that till the final word on this issue too comes from the Supreme Court, the matter will certainly remain in contention.</w:t>
      </w:r>
      <w:r w:rsidRPr="00C202C4">
        <w:rPr>
          <w:rStyle w:val="FootnoteReference"/>
          <w:rFonts w:ascii="Times New Roman" w:hAnsi="Times New Roman" w:cs="Times New Roman"/>
          <w:sz w:val="24"/>
          <w:szCs w:val="24"/>
        </w:rPr>
        <w:footnoteReference w:id="8"/>
      </w:r>
    </w:p>
    <w:p w14:paraId="45B64A47" w14:textId="77777777" w:rsidR="007C34E6" w:rsidRDefault="007C34E6" w:rsidP="00D238F4">
      <w:pPr>
        <w:spacing w:before="0" w:afterLines="0"/>
        <w:rPr>
          <w:rFonts w:ascii="Times New Roman" w:hAnsi="Times New Roman" w:cs="Times New Roman"/>
          <w:sz w:val="24"/>
          <w:szCs w:val="24"/>
        </w:rPr>
      </w:pPr>
    </w:p>
    <w:p w14:paraId="7D4C5703" w14:textId="77777777" w:rsidR="007C34E6" w:rsidRPr="007C34E6" w:rsidRDefault="00D238F4" w:rsidP="00D238F4">
      <w:pPr>
        <w:spacing w:before="0" w:afterLines="0"/>
        <w:rPr>
          <w:rFonts w:ascii="Times New Roman" w:hAnsi="Times New Roman" w:cs="Times New Roman"/>
          <w:b/>
          <w:sz w:val="24"/>
          <w:szCs w:val="24"/>
        </w:rPr>
      </w:pPr>
      <w:r>
        <w:rPr>
          <w:rFonts w:ascii="Times New Roman" w:hAnsi="Times New Roman" w:cs="Times New Roman"/>
          <w:b/>
          <w:sz w:val="24"/>
          <w:szCs w:val="24"/>
        </w:rPr>
        <w:t>CONSUMER AWARENESS AND CONSUMER EDUCATION</w:t>
      </w:r>
    </w:p>
    <w:p w14:paraId="74B30A65" w14:textId="77777777" w:rsidR="007C34E6" w:rsidRDefault="007C34E6" w:rsidP="00D238F4">
      <w:pPr>
        <w:spacing w:before="0" w:afterLines="0"/>
        <w:rPr>
          <w:rFonts w:ascii="Times New Roman" w:hAnsi="Times New Roman" w:cs="Times New Roman"/>
          <w:sz w:val="24"/>
          <w:szCs w:val="24"/>
        </w:rPr>
      </w:pPr>
      <w:r w:rsidRPr="007C34E6">
        <w:rPr>
          <w:rFonts w:ascii="Times New Roman" w:hAnsi="Times New Roman" w:cs="Times New Roman"/>
          <w:sz w:val="24"/>
          <w:szCs w:val="24"/>
        </w:rPr>
        <w:t>Taking into account the prevailing socio-economic scenario in the country and the infancy of the consumer movement, there is a strong need to educate consumers about their rights and responsibilities.Creation of awareness among consumers about their rights in the entire country needs to be given high priority. People living in the remote and rural areas do often become victims of unlawful trade practices being adopted by wrongdoers due to lack of education and poor knowledge. To give impetus to the consumers’ right of education and awareness a national awareness programme requires to be launched aggressively at the district and sub-district levels with the help of State Government, Educational Institutions, Local VCOs, self help groups,PRIs and Urban Local Bodies (ULBs) with particular emphasis and focus on rural areas and most vulnerable sections of consumers. Consumer awareness and education needs to be pursued with appropriate plan/schemes and activities designed on the principle of PPP and using the entire medium available for the purpose. Plans, schemes, activities and strategies recommended/suggested by the sub-group on this aspect are summarized below.</w:t>
      </w:r>
    </w:p>
    <w:p w14:paraId="13A2ABB9" w14:textId="77777777" w:rsidR="007C34E6" w:rsidRPr="007C34E6" w:rsidRDefault="007C34E6" w:rsidP="00D238F4">
      <w:pPr>
        <w:spacing w:before="0" w:afterLines="0"/>
        <w:rPr>
          <w:rFonts w:ascii="Times New Roman" w:hAnsi="Times New Roman" w:cs="Times New Roman"/>
          <w:sz w:val="24"/>
          <w:szCs w:val="24"/>
        </w:rPr>
      </w:pPr>
      <w:r w:rsidRPr="007C34E6">
        <w:rPr>
          <w:rFonts w:ascii="Times New Roman" w:hAnsi="Times New Roman" w:cs="Times New Roman"/>
          <w:sz w:val="24"/>
          <w:szCs w:val="24"/>
        </w:rPr>
        <w:t>Governments, business and consumer representatives should work together to educate consumers about electronic commerce, to foster informed decision-making by consumers participating in electroniccommerce, and to increase business and consumer awareness of the consumer protection framework that applies to their online activities.</w:t>
      </w:r>
    </w:p>
    <w:p w14:paraId="62A28264" w14:textId="77777777" w:rsidR="007C34E6" w:rsidRDefault="007C34E6" w:rsidP="00D238F4">
      <w:pPr>
        <w:spacing w:before="0" w:afterLines="0"/>
        <w:rPr>
          <w:rFonts w:ascii="Times New Roman" w:hAnsi="Times New Roman" w:cs="Times New Roman"/>
          <w:sz w:val="24"/>
          <w:szCs w:val="24"/>
        </w:rPr>
      </w:pPr>
      <w:r w:rsidRPr="007C34E6">
        <w:rPr>
          <w:rFonts w:ascii="Times New Roman" w:hAnsi="Times New Roman" w:cs="Times New Roman"/>
          <w:sz w:val="24"/>
          <w:szCs w:val="24"/>
        </w:rPr>
        <w:t>Governments, business, the media, educational institutions and consumer representatives should make use of all effective means to educate consumers and businesses, including innovativetechniques made possible by global networks. Governments, consumer representatives and businesses should work together to provide information to consumers and businesses globally about relevant consumer protection laws andremedies in an easily accessible and understandable form.</w:t>
      </w:r>
    </w:p>
    <w:p w14:paraId="0F711A49" w14:textId="77777777" w:rsidR="00D238F4" w:rsidRDefault="00D238F4" w:rsidP="00D238F4">
      <w:pPr>
        <w:spacing w:before="0" w:afterLines="0"/>
        <w:rPr>
          <w:rFonts w:ascii="Times New Roman" w:hAnsi="Times New Roman" w:cs="Times New Roman"/>
          <w:sz w:val="24"/>
          <w:szCs w:val="24"/>
        </w:rPr>
      </w:pPr>
    </w:p>
    <w:p w14:paraId="010A21D7" w14:textId="77777777" w:rsidR="00D238F4" w:rsidRDefault="00D238F4" w:rsidP="00D238F4">
      <w:pPr>
        <w:spacing w:before="0" w:afterLines="0"/>
        <w:rPr>
          <w:rFonts w:ascii="Times New Roman" w:hAnsi="Times New Roman" w:cs="Times New Roman"/>
          <w:sz w:val="24"/>
          <w:szCs w:val="24"/>
        </w:rPr>
      </w:pPr>
    </w:p>
    <w:p w14:paraId="7CC0D4DF" w14:textId="77777777" w:rsidR="00D238F4" w:rsidRDefault="00D238F4" w:rsidP="00D238F4">
      <w:pPr>
        <w:spacing w:before="0" w:afterLines="0"/>
        <w:rPr>
          <w:rFonts w:ascii="Times New Roman" w:hAnsi="Times New Roman" w:cs="Times New Roman"/>
          <w:sz w:val="24"/>
          <w:szCs w:val="24"/>
        </w:rPr>
      </w:pPr>
    </w:p>
    <w:p w14:paraId="0CB36FD1" w14:textId="77777777" w:rsidR="00D238F4" w:rsidRDefault="00D238F4" w:rsidP="00AA76ED">
      <w:pPr>
        <w:spacing w:before="0" w:afterLines="0"/>
        <w:ind w:left="0"/>
        <w:rPr>
          <w:rFonts w:ascii="Times New Roman" w:hAnsi="Times New Roman" w:cs="Times New Roman"/>
          <w:sz w:val="24"/>
          <w:szCs w:val="24"/>
        </w:rPr>
      </w:pPr>
    </w:p>
    <w:p w14:paraId="5AD56D3B" w14:textId="77777777" w:rsidR="00D238F4" w:rsidRPr="00D238F4" w:rsidRDefault="00D238F4" w:rsidP="00D238F4">
      <w:pPr>
        <w:spacing w:before="0" w:afterLines="0"/>
        <w:jc w:val="center"/>
        <w:rPr>
          <w:rFonts w:ascii="Times New Roman" w:hAnsi="Times New Roman" w:cs="Times New Roman"/>
          <w:b/>
          <w:sz w:val="24"/>
          <w:szCs w:val="24"/>
        </w:rPr>
      </w:pPr>
      <w:r w:rsidRPr="00D238F4">
        <w:rPr>
          <w:rFonts w:ascii="Times New Roman" w:hAnsi="Times New Roman" w:cs="Times New Roman"/>
          <w:b/>
          <w:sz w:val="24"/>
          <w:szCs w:val="24"/>
        </w:rPr>
        <w:lastRenderedPageBreak/>
        <w:t>BIBLIOGRAPHY</w:t>
      </w:r>
    </w:p>
    <w:p w14:paraId="48CC5523" w14:textId="77777777" w:rsidR="00D238F4" w:rsidRPr="00D238F4" w:rsidRDefault="00D238F4" w:rsidP="00D238F4">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Del Vecchio, Gene. Creating ever-cool: a marketer’s guide to a kid’s</w:t>
      </w:r>
    </w:p>
    <w:p w14:paraId="61EAFE59" w14:textId="77777777" w:rsidR="00D238F4" w:rsidRPr="00D238F4" w:rsidRDefault="00D238F4" w:rsidP="00D238F4">
      <w:pPr>
        <w:pStyle w:val="ListParagraph"/>
        <w:spacing w:before="0" w:afterLines="0"/>
        <w:ind w:left="1571"/>
        <w:rPr>
          <w:rFonts w:ascii="Times New Roman" w:hAnsi="Times New Roman" w:cs="Times New Roman"/>
          <w:sz w:val="24"/>
          <w:szCs w:val="24"/>
        </w:rPr>
      </w:pPr>
      <w:r w:rsidRPr="00D238F4">
        <w:rPr>
          <w:rFonts w:ascii="Times New Roman" w:hAnsi="Times New Roman" w:cs="Times New Roman"/>
          <w:sz w:val="24"/>
          <w:szCs w:val="24"/>
        </w:rPr>
        <w:t>heart. Gretna, LA: Pelican, 1997. 253p.</w:t>
      </w:r>
    </w:p>
    <w:p w14:paraId="0F2C85FC" w14:textId="77777777" w:rsidR="00D238F4" w:rsidRPr="00D238F4" w:rsidRDefault="00D238F4" w:rsidP="00D238F4">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Dhir, Raman. Consumer protection rights in India: awareness andattitudes of selected consumers and marketers. Ludiana: Department of Business Management, College of Basic Sciences and Humanities, PunjabAgriculture University, 1995. 55p.</w:t>
      </w:r>
    </w:p>
    <w:p w14:paraId="3A1CCC5F" w14:textId="77777777" w:rsidR="00D238F4" w:rsidRPr="00D238F4" w:rsidRDefault="00D238F4" w:rsidP="00D238F4">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Financial markets in India and protection of investors, edited by ShriRam Khanna. New Delhi: New Century, 2004. 268p.</w:t>
      </w:r>
    </w:p>
    <w:p w14:paraId="7DD91859" w14:textId="77777777" w:rsidR="00D238F4" w:rsidRPr="00D238F4" w:rsidRDefault="00D238F4" w:rsidP="00D238F4">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Fleischer, Joe, and Read, Brendan. Complete guide to customer support:how to turn technical assistance into a profitable relationship. New York:Group West, 2002. 272p.</w:t>
      </w:r>
    </w:p>
    <w:p w14:paraId="0C88053F" w14:textId="77777777" w:rsidR="00D238F4" w:rsidRPr="00D238F4" w:rsidRDefault="00D238F4" w:rsidP="00D238F4">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FRYE, Judith E. Consumer protection programs, Department of Agriculture,Trade, and Consumer Protection, Department of Justice: an evaluation.</w:t>
      </w:r>
    </w:p>
    <w:p w14:paraId="593DFF8D" w14:textId="77777777" w:rsidR="00D238F4" w:rsidRPr="00D238F4" w:rsidRDefault="00D238F4" w:rsidP="00D238F4">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Madison, WI: Wisconsin Legislative Audit Bureau, 1997. (Report no. 97-20).</w:t>
      </w:r>
    </w:p>
    <w:p w14:paraId="3A81B0DF" w14:textId="77777777" w:rsidR="00D238F4" w:rsidRPr="00D238F4" w:rsidRDefault="00D238F4" w:rsidP="00D238F4">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Galinde, Shekhar S. Consumer Protection Act and issues before medicalprofession. Mumbai: Tata Institute of Social Sciences, 1995.</w:t>
      </w:r>
    </w:p>
    <w:p w14:paraId="1C6B1D07" w14:textId="77777777" w:rsidR="00D238F4" w:rsidRPr="00D238F4" w:rsidRDefault="00D238F4" w:rsidP="00D238F4">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Gambhir, Cheena. Consumer protection administration: organisationand working. New Delhi: Deep and Deep, 2007.</w:t>
      </w:r>
    </w:p>
    <w:p w14:paraId="544549FE"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Gampala</w:t>
      </w:r>
      <w:r w:rsidR="00D238F4" w:rsidRPr="00D238F4">
        <w:rPr>
          <w:rFonts w:ascii="Times New Roman" w:hAnsi="Times New Roman" w:cs="Times New Roman"/>
          <w:sz w:val="24"/>
          <w:szCs w:val="24"/>
        </w:rPr>
        <w:t>, Bhashyam. Consumer protection in India: a study of select</w:t>
      </w:r>
      <w:r w:rsidR="00D238F4" w:rsidRPr="00E37820">
        <w:rPr>
          <w:rFonts w:ascii="Times New Roman" w:hAnsi="Times New Roman" w:cs="Times New Roman"/>
          <w:sz w:val="24"/>
          <w:szCs w:val="24"/>
        </w:rPr>
        <w:t>consumer in Andhra Pradesh. Hyder</w:t>
      </w:r>
      <w:r>
        <w:rPr>
          <w:rFonts w:ascii="Times New Roman" w:hAnsi="Times New Roman" w:cs="Times New Roman"/>
          <w:sz w:val="24"/>
          <w:szCs w:val="24"/>
        </w:rPr>
        <w:t xml:space="preserve">abad: Osmania University, 2001 </w:t>
      </w:r>
      <w:r w:rsidR="00D238F4" w:rsidRPr="00E37820">
        <w:rPr>
          <w:rFonts w:ascii="Times New Roman" w:hAnsi="Times New Roman" w:cs="Times New Roman"/>
          <w:sz w:val="24"/>
          <w:szCs w:val="24"/>
        </w:rPr>
        <w:t>(Ph.D.Thesis).</w:t>
      </w:r>
    </w:p>
    <w:p w14:paraId="013474D0"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Grover</w:t>
      </w:r>
      <w:r w:rsidR="00D238F4" w:rsidRPr="00D238F4">
        <w:rPr>
          <w:rFonts w:ascii="Times New Roman" w:hAnsi="Times New Roman" w:cs="Times New Roman"/>
          <w:sz w:val="24"/>
          <w:szCs w:val="24"/>
        </w:rPr>
        <w:t>, S.K. Trademark/brand duplication and consumer protection.</w:t>
      </w:r>
      <w:r w:rsidR="00D238F4" w:rsidRPr="00E37820">
        <w:rPr>
          <w:rFonts w:ascii="Times New Roman" w:hAnsi="Times New Roman" w:cs="Times New Roman"/>
          <w:sz w:val="24"/>
          <w:szCs w:val="24"/>
        </w:rPr>
        <w:t>New Delhi: Deep and Deep, 1996. 270p.</w:t>
      </w:r>
    </w:p>
    <w:p w14:paraId="5471F361"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Gupta</w:t>
      </w:r>
      <w:r w:rsidR="00D238F4" w:rsidRPr="00D238F4">
        <w:rPr>
          <w:rFonts w:ascii="Times New Roman" w:hAnsi="Times New Roman" w:cs="Times New Roman"/>
          <w:sz w:val="24"/>
          <w:szCs w:val="24"/>
        </w:rPr>
        <w:t>, Rajesh. Consumer protection digest, 1986-1998. New Delhi: Bharat</w:t>
      </w:r>
      <w:r w:rsidR="00D238F4" w:rsidRPr="00E37820">
        <w:rPr>
          <w:rFonts w:ascii="Times New Roman" w:hAnsi="Times New Roman" w:cs="Times New Roman"/>
          <w:sz w:val="24"/>
          <w:szCs w:val="24"/>
        </w:rPr>
        <w:t>Law House, 1999.</w:t>
      </w:r>
    </w:p>
    <w:p w14:paraId="3292A356"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 xml:space="preserve">Hausman, </w:t>
      </w:r>
      <w:r w:rsidR="00D238F4" w:rsidRPr="00D238F4">
        <w:rPr>
          <w:rFonts w:ascii="Times New Roman" w:hAnsi="Times New Roman" w:cs="Times New Roman"/>
          <w:sz w:val="24"/>
          <w:szCs w:val="24"/>
        </w:rPr>
        <w:t>Jerry and Leibtag, Ephraim. Consumer benefits from increased</w:t>
      </w:r>
      <w:r w:rsidR="00D238F4" w:rsidRPr="00E37820">
        <w:rPr>
          <w:rFonts w:ascii="Times New Roman" w:hAnsi="Times New Roman" w:cs="Times New Roman"/>
          <w:sz w:val="24"/>
          <w:szCs w:val="24"/>
        </w:rPr>
        <w:t>competition in shopping outlets: measuring the effect of Wal-mart.Cambridge, MA: National Bureau of Economic Research, 2005. 32p.</w:t>
      </w:r>
    </w:p>
    <w:p w14:paraId="3E90EA0B" w14:textId="77777777" w:rsidR="00D238F4" w:rsidRPr="00D238F4" w:rsidRDefault="00D238F4" w:rsidP="00D238F4">
      <w:pPr>
        <w:spacing w:before="0" w:afterLines="0"/>
        <w:rPr>
          <w:rFonts w:ascii="Times New Roman" w:hAnsi="Times New Roman" w:cs="Times New Roman"/>
          <w:sz w:val="24"/>
          <w:szCs w:val="24"/>
        </w:rPr>
      </w:pPr>
    </w:p>
    <w:p w14:paraId="586F6CA1" w14:textId="77777777" w:rsidR="00D238F4" w:rsidRPr="00D238F4" w:rsidRDefault="00D238F4" w:rsidP="00D238F4">
      <w:pPr>
        <w:spacing w:before="0" w:afterLines="0"/>
        <w:rPr>
          <w:rFonts w:ascii="Times New Roman" w:hAnsi="Times New Roman" w:cs="Times New Roman"/>
          <w:sz w:val="24"/>
          <w:szCs w:val="24"/>
        </w:rPr>
      </w:pPr>
    </w:p>
    <w:p w14:paraId="45A74503" w14:textId="77777777" w:rsidR="00D238F4" w:rsidRPr="00E37820" w:rsidRDefault="00D238F4"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lastRenderedPageBreak/>
        <w:t>H</w:t>
      </w:r>
      <w:r w:rsidR="00E37820">
        <w:rPr>
          <w:rFonts w:ascii="Times New Roman" w:hAnsi="Times New Roman" w:cs="Times New Roman"/>
          <w:sz w:val="24"/>
          <w:szCs w:val="24"/>
        </w:rPr>
        <w:t>ughes</w:t>
      </w:r>
      <w:r w:rsidR="00E37820" w:rsidRPr="00D238F4">
        <w:rPr>
          <w:rFonts w:ascii="Times New Roman" w:hAnsi="Times New Roman" w:cs="Times New Roman"/>
          <w:sz w:val="24"/>
          <w:szCs w:val="24"/>
        </w:rPr>
        <w:t xml:space="preserve">, </w:t>
      </w:r>
      <w:r w:rsidRPr="00D238F4">
        <w:rPr>
          <w:rFonts w:ascii="Times New Roman" w:hAnsi="Times New Roman" w:cs="Times New Roman"/>
          <w:sz w:val="24"/>
          <w:szCs w:val="24"/>
        </w:rPr>
        <w:t>James W, Moore, Michael J. and Snyder, Edward A. Napsterizing</w:t>
      </w:r>
      <w:r w:rsidRPr="00E37820">
        <w:rPr>
          <w:rFonts w:ascii="Times New Roman" w:hAnsi="Times New Roman" w:cs="Times New Roman"/>
          <w:sz w:val="24"/>
          <w:szCs w:val="24"/>
        </w:rPr>
        <w:t>pharmaceuticals: access, innovation and consumer welfare. Cambridge,MA: National Bureau of Economic Research, 2002. 54p.</w:t>
      </w:r>
    </w:p>
    <w:p w14:paraId="3D0F6CD7"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International</w:t>
      </w:r>
      <w:r w:rsidR="00D238F4" w:rsidRPr="00D238F4">
        <w:rPr>
          <w:rFonts w:ascii="Times New Roman" w:hAnsi="Times New Roman" w:cs="Times New Roman"/>
          <w:sz w:val="24"/>
          <w:szCs w:val="24"/>
        </w:rPr>
        <w:t xml:space="preserve"> Conference on Consumer Protection. Implementation</w:t>
      </w:r>
      <w:r w:rsidR="00D238F4" w:rsidRPr="00E37820">
        <w:rPr>
          <w:rFonts w:ascii="Times New Roman" w:hAnsi="Times New Roman" w:cs="Times New Roman"/>
          <w:sz w:val="24"/>
          <w:szCs w:val="24"/>
        </w:rPr>
        <w:t>of the United Nations guidelines for consumer protection. Jaipur:Consumer Unity and Trust Society, 1997.</w:t>
      </w:r>
    </w:p>
    <w:p w14:paraId="13CF4B66" w14:textId="77777777" w:rsidR="00D238F4" w:rsidRPr="00E37820" w:rsidRDefault="00D238F4"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Global Age(1997: New Delhi). Consumer protection for Asia and the Pacific:</w:t>
      </w:r>
      <w:r w:rsidRPr="00E37820">
        <w:rPr>
          <w:rFonts w:ascii="Times New Roman" w:hAnsi="Times New Roman" w:cs="Times New Roman"/>
          <w:sz w:val="24"/>
          <w:szCs w:val="24"/>
        </w:rPr>
        <w:t>proceedings. New York: Department of International Economic and SocialAffairs, United Nations, 1998. 123p.</w:t>
      </w:r>
    </w:p>
    <w:p w14:paraId="128C52FC"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 xml:space="preserve">Jaswal, </w:t>
      </w:r>
      <w:r w:rsidR="00D238F4" w:rsidRPr="00D238F4">
        <w:rPr>
          <w:rFonts w:ascii="Times New Roman" w:hAnsi="Times New Roman" w:cs="Times New Roman"/>
          <w:sz w:val="24"/>
          <w:szCs w:val="24"/>
        </w:rPr>
        <w:t>Girish Chand. Consumer protection in India: consumer awareness</w:t>
      </w:r>
      <w:r w:rsidR="00D238F4" w:rsidRPr="00E37820">
        <w:rPr>
          <w:rFonts w:ascii="Times New Roman" w:hAnsi="Times New Roman" w:cs="Times New Roman"/>
          <w:sz w:val="24"/>
          <w:szCs w:val="24"/>
        </w:rPr>
        <w:t>functioning of consumer associations and redressal agencies inChandigarh. Chandigarh: Punjab University, 2000. (Ph.D. Thesis).</w:t>
      </w:r>
    </w:p>
    <w:p w14:paraId="2C58599A" w14:textId="77777777" w:rsidR="00D238F4" w:rsidRPr="00D238F4" w:rsidRDefault="00E37820" w:rsidP="00D238F4">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Jorgenson</w:t>
      </w:r>
      <w:r w:rsidR="00D238F4" w:rsidRPr="00D238F4">
        <w:rPr>
          <w:rFonts w:ascii="Times New Roman" w:hAnsi="Times New Roman" w:cs="Times New Roman"/>
          <w:sz w:val="24"/>
          <w:szCs w:val="24"/>
        </w:rPr>
        <w:t>, Dale W. Welfare. Cambridge: MIT Press, 1997. 540p.</w:t>
      </w:r>
    </w:p>
    <w:p w14:paraId="54722A6F"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 xml:space="preserve">Kaptan, </w:t>
      </w:r>
      <w:r w:rsidR="00D238F4" w:rsidRPr="00D238F4">
        <w:rPr>
          <w:rFonts w:ascii="Times New Roman" w:hAnsi="Times New Roman" w:cs="Times New Roman"/>
          <w:sz w:val="24"/>
          <w:szCs w:val="24"/>
        </w:rPr>
        <w:t>S.S. Rural consumers and consumer protection. New Delhi:</w:t>
      </w:r>
      <w:r w:rsidR="00D238F4" w:rsidRPr="00E37820">
        <w:rPr>
          <w:rFonts w:ascii="Times New Roman" w:hAnsi="Times New Roman" w:cs="Times New Roman"/>
          <w:sz w:val="24"/>
          <w:szCs w:val="24"/>
        </w:rPr>
        <w:t>Sarup, 2004. 86p.</w:t>
      </w:r>
    </w:p>
    <w:p w14:paraId="3AD2B4B9"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Kaptan</w:t>
      </w:r>
      <w:r w:rsidR="00D238F4" w:rsidRPr="00D238F4">
        <w:rPr>
          <w:rFonts w:ascii="Times New Roman" w:hAnsi="Times New Roman" w:cs="Times New Roman"/>
          <w:sz w:val="24"/>
          <w:szCs w:val="24"/>
        </w:rPr>
        <w:t>, S.S. and Khan, Shoeb. Media and consumer protection. New</w:t>
      </w:r>
      <w:r w:rsidR="00D238F4" w:rsidRPr="00E37820">
        <w:rPr>
          <w:rFonts w:ascii="Times New Roman" w:hAnsi="Times New Roman" w:cs="Times New Roman"/>
          <w:sz w:val="24"/>
          <w:szCs w:val="24"/>
        </w:rPr>
        <w:t>Delhi: Sarup, 2004. 92p.</w:t>
      </w:r>
    </w:p>
    <w:p w14:paraId="406BF33A" w14:textId="77777777" w:rsidR="00D238F4" w:rsidRPr="00E37820" w:rsidRDefault="00D238F4"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KATZ, Phyllis Alberts. Feminist dollar: the wise women’s buying guide.</w:t>
      </w:r>
      <w:r w:rsidRPr="00E37820">
        <w:rPr>
          <w:rFonts w:ascii="Times New Roman" w:hAnsi="Times New Roman" w:cs="Times New Roman"/>
          <w:sz w:val="24"/>
          <w:szCs w:val="24"/>
        </w:rPr>
        <w:t>New York: Plenum Press, 1997. 432p.</w:t>
      </w:r>
    </w:p>
    <w:p w14:paraId="085EBFA1" w14:textId="77777777" w:rsidR="00D238F4" w:rsidRPr="00E37820" w:rsidRDefault="00D238F4"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KERTON, Robert R. Double standards: consumer and worker protection</w:t>
      </w:r>
      <w:r w:rsidRPr="00E37820">
        <w:rPr>
          <w:rFonts w:ascii="Times New Roman" w:hAnsi="Times New Roman" w:cs="Times New Roman"/>
          <w:sz w:val="24"/>
          <w:szCs w:val="24"/>
        </w:rPr>
        <w:t>in an unequal world. Ottawa: North-South Institute, 1990. 40p.</w:t>
      </w:r>
    </w:p>
    <w:p w14:paraId="35EA48DF"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Khandela</w:t>
      </w:r>
      <w:r w:rsidR="00D238F4" w:rsidRPr="00D238F4">
        <w:rPr>
          <w:rFonts w:ascii="Times New Roman" w:hAnsi="Times New Roman" w:cs="Times New Roman"/>
          <w:sz w:val="24"/>
          <w:szCs w:val="24"/>
        </w:rPr>
        <w:t>, Man Chand. Consumer: protection in India. Jaipur: Shyam</w:t>
      </w:r>
      <w:r w:rsidR="00D238F4" w:rsidRPr="00E37820">
        <w:rPr>
          <w:rFonts w:ascii="Times New Roman" w:hAnsi="Times New Roman" w:cs="Times New Roman"/>
          <w:sz w:val="24"/>
          <w:szCs w:val="24"/>
        </w:rPr>
        <w:t>Prakashan, 2001. 216p.</w:t>
      </w:r>
    </w:p>
    <w:p w14:paraId="77FA747E" w14:textId="77777777" w:rsidR="00D238F4" w:rsidRPr="00E37820" w:rsidRDefault="00E37820" w:rsidP="00E37820">
      <w:pPr>
        <w:pStyle w:val="ListParagraph"/>
        <w:numPr>
          <w:ilvl w:val="0"/>
          <w:numId w:val="1"/>
        </w:numPr>
        <w:spacing w:before="0" w:afterLines="0"/>
        <w:rPr>
          <w:rFonts w:ascii="Times New Roman" w:hAnsi="Times New Roman" w:cs="Times New Roman"/>
          <w:sz w:val="24"/>
          <w:szCs w:val="24"/>
        </w:rPr>
      </w:pPr>
      <w:r w:rsidRPr="00D238F4">
        <w:rPr>
          <w:rFonts w:ascii="Times New Roman" w:hAnsi="Times New Roman" w:cs="Times New Roman"/>
          <w:sz w:val="24"/>
          <w:szCs w:val="24"/>
        </w:rPr>
        <w:t xml:space="preserve">King, </w:t>
      </w:r>
      <w:r w:rsidR="00D238F4" w:rsidRPr="00D238F4">
        <w:rPr>
          <w:rFonts w:ascii="Times New Roman" w:hAnsi="Times New Roman" w:cs="Times New Roman"/>
          <w:sz w:val="24"/>
          <w:szCs w:val="24"/>
        </w:rPr>
        <w:t>Donald Barnett and Gao Tong. Consumer protection in China:</w:t>
      </w:r>
      <w:r w:rsidR="00D238F4" w:rsidRPr="00E37820">
        <w:rPr>
          <w:rFonts w:ascii="Times New Roman" w:hAnsi="Times New Roman" w:cs="Times New Roman"/>
          <w:sz w:val="24"/>
          <w:szCs w:val="24"/>
        </w:rPr>
        <w:t>translations, developments and recommendations. Littleton, Colo: F.B.Rothman, 1991. 142p.</w:t>
      </w:r>
    </w:p>
    <w:p w14:paraId="5E53EBAD" w14:textId="77777777" w:rsidR="00D238F4" w:rsidRDefault="00D238F4" w:rsidP="00D238F4">
      <w:pPr>
        <w:spacing w:before="0" w:afterLines="0"/>
        <w:rPr>
          <w:rFonts w:ascii="Times New Roman" w:hAnsi="Times New Roman" w:cs="Times New Roman"/>
          <w:sz w:val="24"/>
          <w:szCs w:val="24"/>
        </w:rPr>
      </w:pPr>
    </w:p>
    <w:p w14:paraId="548526E2" w14:textId="77777777" w:rsidR="00D238F4" w:rsidRDefault="00D238F4" w:rsidP="00D238F4">
      <w:pPr>
        <w:spacing w:before="0" w:afterLines="0"/>
        <w:rPr>
          <w:rFonts w:ascii="Times New Roman" w:hAnsi="Times New Roman" w:cs="Times New Roman"/>
          <w:sz w:val="24"/>
          <w:szCs w:val="24"/>
        </w:rPr>
      </w:pPr>
    </w:p>
    <w:p w14:paraId="1331A08B" w14:textId="77777777" w:rsidR="00D238F4" w:rsidRDefault="00D238F4" w:rsidP="00D238F4">
      <w:pPr>
        <w:spacing w:before="0" w:afterLines="0"/>
        <w:rPr>
          <w:rFonts w:ascii="Times New Roman" w:hAnsi="Times New Roman" w:cs="Times New Roman"/>
          <w:sz w:val="24"/>
          <w:szCs w:val="24"/>
        </w:rPr>
      </w:pPr>
    </w:p>
    <w:p w14:paraId="71E8B24F" w14:textId="77777777" w:rsidR="00D238F4" w:rsidRPr="007C34E6" w:rsidRDefault="00D238F4" w:rsidP="00AA76ED">
      <w:pPr>
        <w:spacing w:before="0" w:afterLines="0"/>
        <w:ind w:left="0"/>
        <w:rPr>
          <w:rFonts w:ascii="Times New Roman" w:hAnsi="Times New Roman" w:cs="Times New Roman"/>
          <w:sz w:val="24"/>
          <w:szCs w:val="24"/>
        </w:rPr>
      </w:pPr>
    </w:p>
    <w:sectPr w:rsidR="00D238F4" w:rsidRPr="007C34E6" w:rsidSect="00937C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BBE64" w14:textId="77777777" w:rsidR="00937C9D" w:rsidRDefault="00937C9D" w:rsidP="007A10B7">
      <w:pPr>
        <w:spacing w:before="0" w:after="48" w:line="240" w:lineRule="auto"/>
      </w:pPr>
      <w:r>
        <w:separator/>
      </w:r>
    </w:p>
  </w:endnote>
  <w:endnote w:type="continuationSeparator" w:id="0">
    <w:p w14:paraId="7CFE20C0" w14:textId="77777777" w:rsidR="00937C9D" w:rsidRDefault="00937C9D" w:rsidP="007A10B7">
      <w:pPr>
        <w:spacing w:before="0"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4A09" w14:textId="77777777" w:rsidR="00B801B6" w:rsidRDefault="00B801B6" w:rsidP="00B801B6">
    <w:pPr>
      <w:pStyle w:val="Footer"/>
      <w:spacing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720A" w14:textId="77777777" w:rsidR="00B801B6" w:rsidRPr="00131F64" w:rsidRDefault="009377D1" w:rsidP="00B801B6">
    <w:pPr>
      <w:pStyle w:val="Footer"/>
      <w:spacing w:after="48"/>
      <w:jc w:val="center"/>
      <w:rPr>
        <w:b/>
      </w:rPr>
    </w:pPr>
    <w:r>
      <w:rPr>
        <w:b/>
      </w:rPr>
      <w:t>Volume 33</w:t>
    </w:r>
    <w:r w:rsidR="00B801B6" w:rsidRPr="00131F64">
      <w:rPr>
        <w:b/>
      </w:rPr>
      <w:t xml:space="preserve"> , { </w:t>
    </w:r>
    <w:r w:rsidR="00B801B6">
      <w:rPr>
        <w:b/>
      </w:rPr>
      <w:t>September</w:t>
    </w:r>
    <w:r w:rsidR="00B801B6" w:rsidRPr="00131F64">
      <w:rPr>
        <w:b/>
      </w:rPr>
      <w:t xml:space="preserve"> } , 2023</w:t>
    </w:r>
  </w:p>
  <w:p w14:paraId="58859B02" w14:textId="77777777" w:rsidR="00B801B6" w:rsidRDefault="00B801B6" w:rsidP="00B801B6">
    <w:pPr>
      <w:pStyle w:val="Footer"/>
      <w:spacing w:after="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483A" w14:textId="77777777" w:rsidR="00B801B6" w:rsidRDefault="00B801B6" w:rsidP="00B801B6">
    <w:pPr>
      <w:pStyle w:val="Footer"/>
      <w:spacing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5C3DF" w14:textId="77777777" w:rsidR="00937C9D" w:rsidRDefault="00937C9D" w:rsidP="007A10B7">
      <w:pPr>
        <w:spacing w:before="0" w:after="48" w:line="240" w:lineRule="auto"/>
      </w:pPr>
      <w:r>
        <w:separator/>
      </w:r>
    </w:p>
  </w:footnote>
  <w:footnote w:type="continuationSeparator" w:id="0">
    <w:p w14:paraId="45FB24A1" w14:textId="77777777" w:rsidR="00937C9D" w:rsidRDefault="00937C9D" w:rsidP="007A10B7">
      <w:pPr>
        <w:spacing w:before="0" w:after="48" w:line="240" w:lineRule="auto"/>
      </w:pPr>
      <w:r>
        <w:continuationSeparator/>
      </w:r>
    </w:p>
  </w:footnote>
  <w:footnote w:id="1">
    <w:p w14:paraId="49F3562D" w14:textId="7FFD065D" w:rsidR="00A94DDC" w:rsidRPr="00A94DDC" w:rsidRDefault="00A94DDC">
      <w:pPr>
        <w:pStyle w:val="FootnoteText"/>
        <w:rPr>
          <w:lang w:val="en-IN"/>
        </w:rPr>
      </w:pPr>
      <w:r>
        <w:rPr>
          <w:rStyle w:val="FootnoteReference"/>
        </w:rPr>
        <w:footnoteRef/>
      </w:r>
      <w:r>
        <w:t xml:space="preserve"> </w:t>
      </w:r>
      <w:r w:rsidRPr="00A94DDC">
        <w:t>Student, Indore Institute of Law</w:t>
      </w:r>
    </w:p>
  </w:footnote>
  <w:footnote w:id="2">
    <w:p w14:paraId="2CAACADB" w14:textId="77777777" w:rsidR="007A10B7" w:rsidRPr="007C34E6" w:rsidRDefault="007A10B7" w:rsidP="007A10B7">
      <w:pPr>
        <w:pStyle w:val="FootnoteText"/>
        <w:rPr>
          <w:rFonts w:ascii="Times New Roman" w:hAnsi="Times New Roman" w:cs="Times New Roman"/>
        </w:rPr>
      </w:pPr>
      <w:r>
        <w:rPr>
          <w:rStyle w:val="FootnoteReference"/>
        </w:rPr>
        <w:footnoteRef/>
      </w:r>
      <w:r w:rsidRPr="007C34E6">
        <w:rPr>
          <w:rFonts w:ascii="Times New Roman" w:hAnsi="Times New Roman" w:cs="Times New Roman"/>
        </w:rPr>
        <w:t>Retrieved from,http://www.consumerdaddy.com/a-14-consumer-protection-law-in-india.htm on 24</w:t>
      </w:r>
      <w:r w:rsidRPr="007C34E6">
        <w:rPr>
          <w:rFonts w:ascii="Times New Roman" w:hAnsi="Times New Roman" w:cs="Times New Roman"/>
          <w:vertAlign w:val="superscript"/>
        </w:rPr>
        <w:t>th</w:t>
      </w:r>
      <w:r w:rsidRPr="007C34E6">
        <w:rPr>
          <w:rFonts w:ascii="Times New Roman" w:hAnsi="Times New Roman" w:cs="Times New Roman"/>
        </w:rPr>
        <w:t xml:space="preserve"> October at 8:00 pm</w:t>
      </w:r>
    </w:p>
  </w:footnote>
  <w:footnote w:id="3">
    <w:p w14:paraId="2F3510B2" w14:textId="77777777" w:rsidR="00E37820" w:rsidRDefault="00E37820" w:rsidP="00E37820">
      <w:pPr>
        <w:pStyle w:val="FootnoteText"/>
      </w:pPr>
      <w:r w:rsidRPr="007C34E6">
        <w:rPr>
          <w:rStyle w:val="FootnoteReference"/>
          <w:rFonts w:ascii="Times New Roman" w:hAnsi="Times New Roman" w:cs="Times New Roman"/>
        </w:rPr>
        <w:footnoteRef/>
      </w:r>
    </w:p>
  </w:footnote>
  <w:footnote w:id="4">
    <w:p w14:paraId="21CE4E0A" w14:textId="77777777" w:rsidR="007A10B7" w:rsidRPr="007C34E6" w:rsidRDefault="007A10B7" w:rsidP="007A10B7">
      <w:pPr>
        <w:pStyle w:val="FootnoteText"/>
        <w:rPr>
          <w:rFonts w:ascii="Times New Roman" w:hAnsi="Times New Roman" w:cs="Times New Roman"/>
        </w:rPr>
      </w:pPr>
      <w:r w:rsidRPr="007C34E6">
        <w:rPr>
          <w:rStyle w:val="FootnoteReference"/>
          <w:rFonts w:ascii="Times New Roman" w:hAnsi="Times New Roman" w:cs="Times New Roman"/>
        </w:rPr>
        <w:footnoteRef/>
      </w:r>
      <w:r w:rsidRPr="007C34E6">
        <w:rPr>
          <w:rFonts w:ascii="Times New Roman" w:hAnsi="Times New Roman" w:cs="Times New Roman"/>
        </w:rPr>
        <w:t>NirmalTaneja v. Calcutta District Forum, II (1992) CPJ 591</w:t>
      </w:r>
    </w:p>
  </w:footnote>
  <w:footnote w:id="5">
    <w:p w14:paraId="02949327" w14:textId="77777777" w:rsidR="007A10B7" w:rsidRPr="007C34E6" w:rsidRDefault="007A10B7" w:rsidP="007A10B7">
      <w:pPr>
        <w:pStyle w:val="FootnoteText"/>
        <w:rPr>
          <w:rFonts w:ascii="Times New Roman" w:hAnsi="Times New Roman" w:cs="Times New Roman"/>
        </w:rPr>
      </w:pPr>
      <w:r w:rsidRPr="007C34E6">
        <w:rPr>
          <w:rStyle w:val="FootnoteReference"/>
          <w:rFonts w:ascii="Times New Roman" w:hAnsi="Times New Roman" w:cs="Times New Roman"/>
        </w:rPr>
        <w:footnoteRef/>
      </w:r>
      <w:r w:rsidRPr="007C34E6">
        <w:rPr>
          <w:rFonts w:ascii="Times New Roman" w:hAnsi="Times New Roman" w:cs="Times New Roman"/>
        </w:rPr>
        <w:t xml:space="preserve">PushpaGirimaji, "All Professionals Come under CPA", </w:t>
      </w:r>
      <w:r w:rsidRPr="007C34E6">
        <w:rPr>
          <w:rFonts w:ascii="Times New Roman" w:hAnsi="Times New Roman" w:cs="Times New Roman"/>
          <w:i/>
          <w:iCs/>
        </w:rPr>
        <w:t xml:space="preserve">The Times of India, </w:t>
      </w:r>
      <w:r w:rsidRPr="007C34E6">
        <w:rPr>
          <w:rFonts w:ascii="Times New Roman" w:hAnsi="Times New Roman" w:cs="Times New Roman"/>
        </w:rPr>
        <w:t>p. 14. 22 Jan. 1996</w:t>
      </w:r>
    </w:p>
  </w:footnote>
  <w:footnote w:id="6">
    <w:p w14:paraId="18DDF784" w14:textId="77777777" w:rsidR="007A10B7" w:rsidRPr="007C34E6" w:rsidRDefault="007A10B7" w:rsidP="007A10B7">
      <w:pPr>
        <w:pStyle w:val="FootnoteText"/>
        <w:jc w:val="both"/>
        <w:rPr>
          <w:rFonts w:ascii="Times New Roman" w:eastAsia="Times New Roman" w:hAnsi="Times New Roman" w:cs="Times New Roman"/>
        </w:rPr>
      </w:pPr>
      <w:r w:rsidRPr="007C34E6">
        <w:rPr>
          <w:rStyle w:val="FootnoteReference"/>
          <w:rFonts w:ascii="Times New Roman" w:eastAsia="Times New Roman" w:hAnsi="Times New Roman" w:cs="Times New Roman"/>
        </w:rPr>
        <w:footnoteRef/>
      </w:r>
      <w:r w:rsidRPr="007C34E6">
        <w:rPr>
          <w:rFonts w:ascii="Times New Roman" w:eastAsia="Times New Roman" w:hAnsi="Times New Roman" w:cs="Times New Roman"/>
        </w:rPr>
        <w:t xml:space="preserve"> See, </w:t>
      </w:r>
      <w:r w:rsidRPr="007C34E6">
        <w:rPr>
          <w:rFonts w:ascii="Times New Roman" w:eastAsia="Times New Roman" w:hAnsi="Times New Roman" w:cs="Times New Roman"/>
          <w:iCs/>
        </w:rPr>
        <w:t xml:space="preserve">e.g., Tilak Raj of Chandigarh </w:t>
      </w:r>
      <w:r w:rsidRPr="007C34E6">
        <w:rPr>
          <w:rFonts w:ascii="Times New Roman" w:eastAsia="Times New Roman" w:hAnsi="Times New Roman" w:cs="Times New Roman"/>
        </w:rPr>
        <w:t xml:space="preserve">v. </w:t>
      </w:r>
      <w:r w:rsidRPr="007C34E6">
        <w:rPr>
          <w:rFonts w:ascii="Times New Roman" w:eastAsia="Times New Roman" w:hAnsi="Times New Roman" w:cs="Times New Roman"/>
          <w:iCs/>
        </w:rPr>
        <w:t xml:space="preserve">Haryuna School Education Board, Bhiwani, </w:t>
      </w:r>
      <w:r w:rsidRPr="007C34E6">
        <w:rPr>
          <w:rFonts w:ascii="Times New Roman" w:eastAsia="Times New Roman" w:hAnsi="Times New Roman" w:cs="Times New Roman"/>
        </w:rPr>
        <w:t xml:space="preserve">1 (1992) CPJ 76; </w:t>
      </w:r>
      <w:r w:rsidRPr="007C34E6">
        <w:rPr>
          <w:rFonts w:ascii="Times New Roman" w:eastAsia="Times New Roman" w:hAnsi="Times New Roman" w:cs="Times New Roman"/>
          <w:iCs/>
        </w:rPr>
        <w:t xml:space="preserve">Abel Pacheco Gracias </w:t>
      </w:r>
      <w:r w:rsidRPr="007C34E6">
        <w:rPr>
          <w:rFonts w:ascii="Times New Roman" w:eastAsia="Times New Roman" w:hAnsi="Times New Roman" w:cs="Times New Roman"/>
        </w:rPr>
        <w:t xml:space="preserve">v. </w:t>
      </w:r>
      <w:r w:rsidRPr="007C34E6">
        <w:rPr>
          <w:rFonts w:ascii="Times New Roman" w:eastAsia="Times New Roman" w:hAnsi="Times New Roman" w:cs="Times New Roman"/>
          <w:iCs/>
        </w:rPr>
        <w:t xml:space="preserve">Principal, BharatiVidyapith College of Engineering, </w:t>
      </w:r>
      <w:r w:rsidRPr="007C34E6">
        <w:rPr>
          <w:rFonts w:ascii="Times New Roman" w:eastAsia="Times New Roman" w:hAnsi="Times New Roman" w:cs="Times New Roman"/>
        </w:rPr>
        <w:t xml:space="preserve">I (1992) CPJ 105; </w:t>
      </w:r>
      <w:r w:rsidRPr="007C34E6">
        <w:rPr>
          <w:rFonts w:ascii="Times New Roman" w:eastAsia="Times New Roman" w:hAnsi="Times New Roman" w:cs="Times New Roman"/>
          <w:iCs/>
        </w:rPr>
        <w:t xml:space="preserve">Controller of Examination, Board of Intermediate Examinations, Hyderabad </w:t>
      </w:r>
      <w:r w:rsidRPr="007C34E6">
        <w:rPr>
          <w:rFonts w:ascii="Times New Roman" w:eastAsia="Times New Roman" w:hAnsi="Times New Roman" w:cs="Times New Roman"/>
        </w:rPr>
        <w:t xml:space="preserve">v. </w:t>
      </w:r>
      <w:r w:rsidRPr="007C34E6">
        <w:rPr>
          <w:rFonts w:ascii="Times New Roman" w:eastAsia="Times New Roman" w:hAnsi="Times New Roman" w:cs="Times New Roman"/>
          <w:iCs/>
        </w:rPr>
        <w:t xml:space="preserve">Kandukuri Uma Devi, </w:t>
      </w:r>
      <w:r w:rsidRPr="007C34E6">
        <w:rPr>
          <w:rFonts w:ascii="Times New Roman" w:eastAsia="Times New Roman" w:hAnsi="Times New Roman" w:cs="Times New Roman"/>
        </w:rPr>
        <w:t xml:space="preserve">I (1993) CPJ 572; </w:t>
      </w:r>
      <w:r w:rsidRPr="007C34E6">
        <w:rPr>
          <w:rFonts w:ascii="Times New Roman" w:eastAsia="Times New Roman" w:hAnsi="Times New Roman" w:cs="Times New Roman"/>
          <w:iCs/>
        </w:rPr>
        <w:t xml:space="preserve">Mumbai CrahakPanchayat, Bombay </w:t>
      </w:r>
      <w:r w:rsidRPr="007C34E6">
        <w:rPr>
          <w:rFonts w:ascii="Times New Roman" w:eastAsia="Times New Roman" w:hAnsi="Times New Roman" w:cs="Times New Roman"/>
        </w:rPr>
        <w:t xml:space="preserve">v. </w:t>
      </w:r>
      <w:r w:rsidRPr="007C34E6">
        <w:rPr>
          <w:rFonts w:ascii="Times New Roman" w:eastAsia="Times New Roman" w:hAnsi="Times New Roman" w:cs="Times New Roman"/>
          <w:iCs/>
        </w:rPr>
        <w:t xml:space="preserve">Registrar, University of Bombay, </w:t>
      </w:r>
      <w:r w:rsidRPr="007C34E6">
        <w:rPr>
          <w:rFonts w:ascii="Times New Roman" w:eastAsia="Times New Roman" w:hAnsi="Times New Roman" w:cs="Times New Roman"/>
        </w:rPr>
        <w:t xml:space="preserve">I (1993) CPJ 37; and </w:t>
      </w:r>
      <w:r w:rsidRPr="007C34E6">
        <w:rPr>
          <w:rFonts w:ascii="Times New Roman" w:eastAsia="Times New Roman" w:hAnsi="Times New Roman" w:cs="Times New Roman"/>
          <w:iCs/>
        </w:rPr>
        <w:t>V. Murugesan</w:t>
      </w:r>
      <w:r w:rsidRPr="007C34E6">
        <w:rPr>
          <w:rFonts w:ascii="Times New Roman" w:eastAsia="Times New Roman" w:hAnsi="Times New Roman" w:cs="Times New Roman"/>
        </w:rPr>
        <w:t xml:space="preserve">v. </w:t>
      </w:r>
      <w:r w:rsidRPr="007C34E6">
        <w:rPr>
          <w:rFonts w:ascii="Times New Roman" w:eastAsia="Times New Roman" w:hAnsi="Times New Roman" w:cs="Times New Roman"/>
          <w:iCs/>
        </w:rPr>
        <w:t xml:space="preserve">Registrar, University of Madras. </w:t>
      </w:r>
      <w:r w:rsidRPr="007C34E6">
        <w:rPr>
          <w:rFonts w:ascii="Times New Roman" w:eastAsia="Times New Roman" w:hAnsi="Times New Roman" w:cs="Times New Roman"/>
        </w:rPr>
        <w:t>1993 (1) CPR  190</w:t>
      </w:r>
    </w:p>
  </w:footnote>
  <w:footnote w:id="7">
    <w:p w14:paraId="166D4D36" w14:textId="77777777" w:rsidR="007A10B7" w:rsidRPr="0074469B" w:rsidRDefault="007A10B7" w:rsidP="007A10B7">
      <w:pPr>
        <w:shd w:val="clear" w:color="auto" w:fill="FFFFFF"/>
        <w:tabs>
          <w:tab w:val="left" w:pos="552"/>
        </w:tabs>
        <w:spacing w:after="48" w:line="230" w:lineRule="exact"/>
        <w:ind w:left="29" w:right="10"/>
        <w:rPr>
          <w:rFonts w:ascii="Calibri" w:eastAsia="Times New Roman" w:hAnsi="Calibri" w:cs="Times New Roman"/>
          <w:spacing w:val="-1"/>
          <w:sz w:val="18"/>
          <w:szCs w:val="18"/>
        </w:rPr>
      </w:pPr>
      <w:r w:rsidRPr="007C34E6">
        <w:rPr>
          <w:rStyle w:val="FootnoteReference"/>
          <w:rFonts w:ascii="Times New Roman" w:eastAsia="Times New Roman" w:hAnsi="Times New Roman" w:cs="Times New Roman"/>
          <w:sz w:val="20"/>
          <w:szCs w:val="20"/>
        </w:rPr>
        <w:footnoteRef/>
      </w:r>
      <w:r w:rsidRPr="007C34E6">
        <w:rPr>
          <w:rFonts w:ascii="Times New Roman" w:eastAsia="Times New Roman" w:hAnsi="Times New Roman" w:cs="Times New Roman"/>
          <w:sz w:val="20"/>
          <w:szCs w:val="20"/>
        </w:rPr>
        <w:t xml:space="preserve"> See, e.g., NirmalTaneja v. Calcutta District Forum, II (1992) CPJ 591; Seemu Bhatia v. Registrar, Rajusthan University, II (1992) CPJ 899; Registrar, Evaluation University of Karnataku v. Poornima G. Bhandari, (1994)2 CTJ 408 (NC); Kurukshetra University v. VineyParkashVerma, (1994)2 CTJ 429 (NC); and Registrar, University of Madras v. Union of India. </w:t>
      </w:r>
      <w:r w:rsidRPr="007C34E6">
        <w:rPr>
          <w:rFonts w:ascii="Times New Roman" w:eastAsia="Times New Roman" w:hAnsi="Times New Roman" w:cs="Times New Roman"/>
          <w:spacing w:val="10"/>
          <w:sz w:val="20"/>
          <w:szCs w:val="20"/>
        </w:rPr>
        <w:t xml:space="preserve">(1995) </w:t>
      </w:r>
      <w:r w:rsidRPr="007C34E6">
        <w:rPr>
          <w:rFonts w:ascii="Times New Roman" w:eastAsia="Times New Roman" w:hAnsi="Times New Roman" w:cs="Times New Roman"/>
          <w:sz w:val="20"/>
          <w:szCs w:val="20"/>
        </w:rPr>
        <w:t>3 CTJ 100 (HC).</w:t>
      </w:r>
    </w:p>
  </w:footnote>
  <w:footnote w:id="8">
    <w:p w14:paraId="7A37DB51" w14:textId="77777777" w:rsidR="007A10B7" w:rsidRPr="007C34E6" w:rsidRDefault="007A10B7" w:rsidP="007A10B7">
      <w:pPr>
        <w:pStyle w:val="FootnoteText"/>
        <w:rPr>
          <w:rFonts w:ascii="Times New Roman" w:hAnsi="Times New Roman" w:cs="Times New Roman"/>
        </w:rPr>
      </w:pPr>
      <w:r w:rsidRPr="007C34E6">
        <w:rPr>
          <w:rStyle w:val="FootnoteReference"/>
          <w:rFonts w:ascii="Times New Roman" w:hAnsi="Times New Roman" w:cs="Times New Roman"/>
        </w:rPr>
        <w:footnoteRef/>
      </w:r>
      <w:r w:rsidRPr="007C34E6">
        <w:rPr>
          <w:rFonts w:ascii="Times New Roman" w:hAnsi="Times New Roman" w:cs="Times New Roman"/>
        </w:rPr>
        <w:t xml:space="preserve"> S</w:t>
      </w:r>
      <w:r w:rsidRPr="007C34E6">
        <w:rPr>
          <w:rFonts w:ascii="Times New Roman" w:eastAsia="Times New Roman" w:hAnsi="Times New Roman" w:cs="Times New Roman"/>
        </w:rPr>
        <w:t xml:space="preserve">ee, Gurjeet Singh, "Increasing Ambit and Amplitude of the Consumer Protection Act, 1986 — A Case Study of its Applicability to Educational Services", I (9) </w:t>
      </w:r>
      <w:r w:rsidRPr="007C34E6">
        <w:rPr>
          <w:rFonts w:ascii="Times New Roman" w:eastAsia="Times New Roman" w:hAnsi="Times New Roman" w:cs="Times New Roman"/>
          <w:iCs/>
        </w:rPr>
        <w:t xml:space="preserve">CTJ </w:t>
      </w:r>
      <w:r w:rsidRPr="007C34E6">
        <w:rPr>
          <w:rFonts w:ascii="Times New Roman" w:eastAsia="Times New Roman" w:hAnsi="Times New Roman" w:cs="Times New Roman"/>
        </w:rPr>
        <w:t xml:space="preserve">166-87 (Sept. 1993); and, "Applicability of the Consumer Protection Act, 1986 to Educational Services: Need for a Final Word from the Supreme Court of India", 3(5) </w:t>
      </w:r>
      <w:r w:rsidRPr="007C34E6">
        <w:rPr>
          <w:rFonts w:ascii="Times New Roman" w:eastAsia="Times New Roman" w:hAnsi="Times New Roman" w:cs="Times New Roman"/>
          <w:iCs/>
        </w:rPr>
        <w:t xml:space="preserve">CTJ   </w:t>
      </w:r>
      <w:r w:rsidRPr="007C34E6">
        <w:rPr>
          <w:rFonts w:ascii="Times New Roman" w:eastAsia="Times New Roman" w:hAnsi="Times New Roman" w:cs="Times New Roman"/>
        </w:rPr>
        <w:t>70-72 (May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85D0" w14:textId="77777777" w:rsidR="00B801B6" w:rsidRDefault="00B801B6" w:rsidP="00B801B6">
    <w:pPr>
      <w:pStyle w:val="Header"/>
      <w:spacing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96F2" w14:textId="77777777" w:rsidR="00B801B6" w:rsidRDefault="00B801B6" w:rsidP="00B801B6">
    <w:pPr>
      <w:pStyle w:val="BodyText"/>
      <w:spacing w:before="10" w:after="48"/>
      <w:ind w:left="20"/>
    </w:pPr>
    <w:r>
      <w:t xml:space="preserve">UdgamVigyati”–TheOriginofKnowledge                                   </w:t>
    </w:r>
    <w:bookmarkStart w:id="0" w:name="_Hlk126877621"/>
    <w:bookmarkStart w:id="1" w:name="_Hlk126877622"/>
    <w:r>
      <w:t>“ISSN2455-2488”</w:t>
    </w:r>
    <w:bookmarkEnd w:id="0"/>
    <w:bookmarkEnd w:id="1"/>
  </w:p>
  <w:p w14:paraId="459C7DDB" w14:textId="77777777" w:rsidR="00B801B6" w:rsidRDefault="00B801B6" w:rsidP="00B801B6">
    <w:pPr>
      <w:pStyle w:val="Header"/>
      <w:spacing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AFEEC" w14:textId="77777777" w:rsidR="00B801B6" w:rsidRDefault="00B801B6" w:rsidP="00B801B6">
    <w:pPr>
      <w:pStyle w:val="Header"/>
      <w:spacing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9388B"/>
    <w:multiLevelType w:val="hybridMultilevel"/>
    <w:tmpl w:val="CA3E6BCC"/>
    <w:lvl w:ilvl="0" w:tplc="0FAC92EA">
      <w:start w:val="1"/>
      <w:numFmt w:val="decimal"/>
      <w:lvlText w:val="%1."/>
      <w:lvlJc w:val="left"/>
      <w:pPr>
        <w:ind w:left="1571" w:hanging="360"/>
      </w:pPr>
      <w:rPr>
        <w:rFonts w:ascii="Times New Roman" w:hAnsi="Times New Roman" w:hint="default"/>
        <w:b w:val="0"/>
        <w:i w:val="0"/>
        <w:color w:val="000000" w:themeColor="text1"/>
        <w:sz w:val="24"/>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16cid:durableId="79013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F20"/>
    <w:rsid w:val="000D4D66"/>
    <w:rsid w:val="000E57EF"/>
    <w:rsid w:val="001D16D5"/>
    <w:rsid w:val="002135CD"/>
    <w:rsid w:val="00320F20"/>
    <w:rsid w:val="0032565A"/>
    <w:rsid w:val="00363D2D"/>
    <w:rsid w:val="00365480"/>
    <w:rsid w:val="00425D0F"/>
    <w:rsid w:val="0049231F"/>
    <w:rsid w:val="00546860"/>
    <w:rsid w:val="005E5600"/>
    <w:rsid w:val="0062735E"/>
    <w:rsid w:val="007A10B7"/>
    <w:rsid w:val="007C34E6"/>
    <w:rsid w:val="009377D1"/>
    <w:rsid w:val="00937C9D"/>
    <w:rsid w:val="00A546AC"/>
    <w:rsid w:val="00A60BA5"/>
    <w:rsid w:val="00A94DDC"/>
    <w:rsid w:val="00AA76ED"/>
    <w:rsid w:val="00B801B6"/>
    <w:rsid w:val="00B96D3E"/>
    <w:rsid w:val="00C11C6D"/>
    <w:rsid w:val="00C84E81"/>
    <w:rsid w:val="00C96273"/>
    <w:rsid w:val="00D238F4"/>
    <w:rsid w:val="00E0458F"/>
    <w:rsid w:val="00E37820"/>
    <w:rsid w:val="00ED1C0F"/>
    <w:rsid w:val="00F721C6"/>
    <w:rsid w:val="00FB72A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EEEE"/>
  <w15:docId w15:val="{08E715D9-2771-4C2B-850E-E3EC7175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before="20" w:afterLines="20" w:line="360" w:lineRule="auto"/>
        <w:ind w:left="851"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20F20"/>
  </w:style>
  <w:style w:type="character" w:customStyle="1" w:styleId="apple-converted-space">
    <w:name w:val="apple-converted-space"/>
    <w:basedOn w:val="DefaultParagraphFont"/>
    <w:rsid w:val="00320F20"/>
  </w:style>
  <w:style w:type="paragraph" w:styleId="FootnoteText">
    <w:name w:val="footnote text"/>
    <w:basedOn w:val="Normal"/>
    <w:link w:val="FootnoteTextChar"/>
    <w:semiHidden/>
    <w:unhideWhenUsed/>
    <w:rsid w:val="007A10B7"/>
    <w:pPr>
      <w:spacing w:before="0" w:afterLines="0" w:line="240" w:lineRule="auto"/>
      <w:ind w:left="0" w:right="0"/>
      <w:jc w:val="left"/>
    </w:pPr>
    <w:rPr>
      <w:rFonts w:eastAsiaTheme="minorEastAsia"/>
      <w:sz w:val="20"/>
      <w:szCs w:val="20"/>
      <w:lang w:val="en-US"/>
    </w:rPr>
  </w:style>
  <w:style w:type="character" w:customStyle="1" w:styleId="FootnoteTextChar">
    <w:name w:val="Footnote Text Char"/>
    <w:basedOn w:val="DefaultParagraphFont"/>
    <w:link w:val="FootnoteText"/>
    <w:semiHidden/>
    <w:rsid w:val="007A10B7"/>
    <w:rPr>
      <w:rFonts w:eastAsiaTheme="minorEastAsia"/>
      <w:sz w:val="20"/>
      <w:szCs w:val="20"/>
      <w:lang w:val="en-US"/>
    </w:rPr>
  </w:style>
  <w:style w:type="character" w:styleId="FootnoteReference">
    <w:name w:val="footnote reference"/>
    <w:basedOn w:val="DefaultParagraphFont"/>
    <w:semiHidden/>
    <w:unhideWhenUsed/>
    <w:rsid w:val="007A10B7"/>
    <w:rPr>
      <w:vertAlign w:val="superscript"/>
    </w:rPr>
  </w:style>
  <w:style w:type="paragraph" w:styleId="ListParagraph">
    <w:name w:val="List Paragraph"/>
    <w:basedOn w:val="Normal"/>
    <w:uiPriority w:val="34"/>
    <w:qFormat/>
    <w:rsid w:val="00D238F4"/>
    <w:pPr>
      <w:ind w:left="720"/>
      <w:contextualSpacing/>
    </w:pPr>
  </w:style>
  <w:style w:type="paragraph" w:styleId="Header">
    <w:name w:val="header"/>
    <w:basedOn w:val="Normal"/>
    <w:link w:val="HeaderChar"/>
    <w:uiPriority w:val="99"/>
    <w:unhideWhenUsed/>
    <w:rsid w:val="00B801B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801B6"/>
  </w:style>
  <w:style w:type="paragraph" w:styleId="Footer">
    <w:name w:val="footer"/>
    <w:basedOn w:val="Normal"/>
    <w:link w:val="FooterChar"/>
    <w:unhideWhenUsed/>
    <w:rsid w:val="00B801B6"/>
    <w:pPr>
      <w:tabs>
        <w:tab w:val="center" w:pos="4680"/>
        <w:tab w:val="right" w:pos="9360"/>
      </w:tabs>
      <w:spacing w:before="0" w:line="240" w:lineRule="auto"/>
    </w:pPr>
  </w:style>
  <w:style w:type="character" w:customStyle="1" w:styleId="FooterChar">
    <w:name w:val="Footer Char"/>
    <w:basedOn w:val="DefaultParagraphFont"/>
    <w:link w:val="Footer"/>
    <w:rsid w:val="00B801B6"/>
  </w:style>
  <w:style w:type="paragraph" w:styleId="BodyText">
    <w:name w:val="Body Text"/>
    <w:basedOn w:val="Normal"/>
    <w:link w:val="BodyTextChar"/>
    <w:uiPriority w:val="1"/>
    <w:qFormat/>
    <w:rsid w:val="00B801B6"/>
    <w:pPr>
      <w:widowControl w:val="0"/>
      <w:autoSpaceDE w:val="0"/>
      <w:autoSpaceDN w:val="0"/>
      <w:spacing w:before="0" w:afterLines="0" w:line="240" w:lineRule="auto"/>
      <w:ind w:left="480" w:right="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01B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8B015-05EC-4CD0-BBDC-F5B0F424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Vaibhav Singh</cp:lastModifiedBy>
  <cp:revision>6</cp:revision>
  <dcterms:created xsi:type="dcterms:W3CDTF">2010-11-23T16:44:00Z</dcterms:created>
  <dcterms:modified xsi:type="dcterms:W3CDTF">2024-05-01T09:44:00Z</dcterms:modified>
</cp:coreProperties>
</file>